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line="300"/>
        <w:jc w:val="left"/>
      </w:pPr>
      <w:r>
        <w:rPr>
          <w:rFonts w:ascii="Arial" w:cs="Arial" w:eastAsia="Arial" w:hAnsi="Arial"/>
          <w:sz w:val="22"/>
          <w:szCs w:val="22"/>
        </w:rPr>
        <w:t xml:space="preserve">Jason Robertson</w:t>
      </w:r>
    </w:p>
    <w:p>
      <w:pPr>
        <w:spacing w:after="200" w:line="300"/>
        <w:jc w:val="left"/>
      </w:pPr>
      <w:r>
        <w:rPr>
          <w:rFonts w:ascii="Arial" w:cs="Arial" w:eastAsia="Arial" w:hAnsi="Arial"/>
          <w:sz w:val="22"/>
          <w:szCs w:val="22"/>
        </w:rPr>
        <w:t xml:space="preserve">[Street Address]</w:t>
      </w:r>
    </w:p>
    <w:p>
      <w:pPr>
        <w:spacing w:after="200" w:line="300"/>
        <w:jc w:val="left"/>
      </w:pPr>
      <w:r>
        <w:rPr>
          <w:rFonts w:ascii="Arial" w:cs="Arial" w:eastAsia="Arial" w:hAnsi="Arial"/>
          <w:sz w:val="22"/>
          <w:szCs w:val="22"/>
        </w:rPr>
        <w:t xml:space="preserve">[City], Ohio [ZIP]</w:t>
      </w:r>
    </w:p>
    <w:p>
      <w:pPr>
        <w:spacing w:after="200" w:line="300"/>
        <w:jc w:val="left"/>
      </w:pPr>
      <w:r>
        <w:rPr>
          <w:rFonts w:ascii="Arial" w:cs="Arial" w:eastAsia="Arial" w:hAnsi="Arial"/>
          <w:sz w:val="22"/>
          <w:szCs w:val="22"/>
        </w:rPr>
        <w:t xml:space="preserve">[Email Address]</w:t>
      </w:r>
    </w:p>
    <w:p>
      <w:pPr>
        <w:spacing w:after="200" w:line="300"/>
        <w:jc w:val="left"/>
      </w:pPr>
      <w:r>
        <w:rPr>
          <w:rFonts w:ascii="Arial" w:cs="Arial" w:eastAsia="Arial" w:hAnsi="Arial"/>
          <w:sz w:val="22"/>
          <w:szCs w:val="22"/>
        </w:rPr>
        <w:t xml:space="preserve">[Phone Number]</w:t>
      </w:r>
    </w:p>
    <w:p>
      <w:pPr>
        <w:spacing w:after="200"/>
      </w:pPr>
      <w:r>
        <w:t xml:space="preserve"/>
      </w:r>
    </w:p>
    <w:p>
      <w:pPr>
        <w:spacing w:after="200" w:line="300"/>
        <w:jc w:val="left"/>
      </w:pPr>
      <w:r>
        <w:rPr>
          <w:rFonts w:ascii="Arial" w:cs="Arial" w:eastAsia="Arial" w:hAnsi="Arial"/>
          <w:sz w:val="22"/>
          <w:szCs w:val="22"/>
        </w:rPr>
        <w:t xml:space="preserve">[Date]</w:t>
      </w:r>
    </w:p>
    <w:p>
      <w:pPr>
        <w:spacing w:after="200"/>
      </w:pPr>
      <w:r>
        <w:t xml:space="preserve"/>
      </w:r>
    </w:p>
    <w:p>
      <w:pPr>
        <w:spacing w:after="200" w:line="300"/>
        <w:jc w:val="left"/>
      </w:pPr>
      <w:r>
        <w:rPr>
          <w:rFonts w:ascii="Arial" w:cs="Arial" w:eastAsia="Arial" w:hAnsi="Arial"/>
          <w:b/>
          <w:bCs/>
          <w:sz w:val="22"/>
          <w:szCs w:val="22"/>
        </w:rPr>
        <w:t xml:space="preserve">The Honorable [Senator Name]</w:t>
      </w:r>
    </w:p>
    <w:p>
      <w:pPr>
        <w:spacing w:after="200" w:line="300"/>
        <w:jc w:val="left"/>
      </w:pPr>
      <w:r>
        <w:rPr>
          <w:rFonts w:ascii="Arial" w:cs="Arial" w:eastAsia="Arial" w:hAnsi="Arial"/>
          <w:sz w:val="22"/>
          <w:szCs w:val="22"/>
        </w:rPr>
        <w:t xml:space="preserve">United States Senate</w:t>
      </w:r>
    </w:p>
    <w:p>
      <w:pPr>
        <w:spacing w:after="200" w:line="300"/>
        <w:jc w:val="left"/>
      </w:pPr>
      <w:r>
        <w:rPr>
          <w:rFonts w:ascii="Arial" w:cs="Arial" w:eastAsia="Arial" w:hAnsi="Arial"/>
          <w:sz w:val="22"/>
          <w:szCs w:val="22"/>
        </w:rPr>
        <w:t xml:space="preserve">[Office Address]</w:t>
      </w:r>
    </w:p>
    <w:p>
      <w:pPr>
        <w:spacing w:after="200" w:line="300"/>
        <w:jc w:val="left"/>
      </w:pPr>
      <w:r>
        <w:rPr>
          <w:rFonts w:ascii="Arial" w:cs="Arial" w:eastAsia="Arial" w:hAnsi="Arial"/>
          <w:sz w:val="22"/>
          <w:szCs w:val="22"/>
        </w:rPr>
        <w:t xml:space="preserve">Washington, DC [ZIP]</w:t>
      </w:r>
    </w:p>
    <w:p>
      <w:pPr>
        <w:spacing w:after="200"/>
      </w:pPr>
      <w:r>
        <w:t xml:space="preserve"/>
      </w:r>
    </w:p>
    <w:p>
      <w:pPr>
        <w:spacing w:after="200" w:line="300"/>
        <w:jc w:val="left"/>
      </w:pPr>
      <w:r>
        <w:rPr>
          <w:rFonts w:ascii="Arial" w:cs="Arial" w:eastAsia="Arial" w:hAnsi="Arial"/>
          <w:b/>
          <w:bCs/>
          <w:sz w:val="22"/>
          <w:szCs w:val="22"/>
        </w:rPr>
        <w:t>Re: We The People Platform — A Constituent's Comprehensive Reform Proposal</w:t>
      </w:r>
      <w:r>
        <w:rPr>
          <w:rFonts w:ascii="Arial" w:cs="Arial" w:eastAsia="Arial" w:hAnsi="Arial"/>
          <w:b/>
          <w:bCs/>
          <w:sz w:val="22"/>
          <w:szCs w:val="22"/>
        </w:rPr>
      </w:r>
    </w:p>
    <w:p>
      <w:pPr>
        <w:spacing w:after="200"/>
      </w:pPr>
      <w:r>
        <w:t xml:space="preserve"/>
      </w:r>
    </w:p>
    <w:p>
      <w:pPr>
        <w:spacing w:after="200" w:line="300"/>
        <w:jc w:val="left"/>
      </w:pPr>
      <w:r>
        <w:rPr>
          <w:rFonts w:ascii="Arial" w:cs="Arial" w:eastAsia="Arial" w:hAnsi="Arial"/>
          <w:sz w:val="22"/>
          <w:szCs w:val="22"/>
        </w:rPr>
        <w:t xml:space="preserve">Dear Senator [Last Name]:</w:t>
      </w:r>
    </w:p>
    <w:p>
      <w:pPr>
        <w:spacing w:after="200"/>
      </w:pPr>
      <w:r>
        <w:t xml:space="preserve"/>
      </w:r>
    </w:p>
    <w:p>
      <w:pPr>
        <w:spacing w:after="200" w:line="300"/>
        <w:jc w:val="left"/>
      </w:pPr>
      <w:r>
        <w:rPr>
          <w:rFonts w:ascii="Arial" w:cs="Arial" w:eastAsia="Arial" w:hAnsi="Arial"/>
          <w:sz w:val="22"/>
          <w:szCs w:val="22"/>
        </w:rPr>
        <w:t>I am writing as one of your constituents in [City], Ohio. I am a Data Architect / Data Engineer who has spent considerable personal time developing a serious technical platform for long-term economic and social investment reform. I am sharing it with you because I believe it deserves consideration from a senator with the standing and analytical orientation to evaluate it on its merits.</w:t>
      </w:r>
    </w:p>
    <w:p>
      <w:pPr>
        <w:spacing w:after="200" w:line="300"/>
        <w:jc w:val="left"/>
      </w:pPr>
      <w:r>
        <w:rPr>
          <w:rFonts w:ascii="Arial" w:cs="Arial" w:eastAsia="Arial" w:hAnsi="Arial"/>
          <w:i w:val="false"/>
          <w:iCs w:val="false"/>
          <w:sz w:val="22"/>
          <w:szCs w:val="22"/>
        </w:rPr>
        <w:t>The platform, titled We The People, addresses several structural problems through a coherent architecture rather than as separate proposals: retirement reform (a phased Social Security transition combining hybrid individual accounts and a Norwegian-style sovereign investment fund), occupation-specific wage floors set by labor market data, a Sovereign Education Fund covering education from vocational training through doctoral programs with cost-based pricing and living stipends for doctoral students, German-style universal healthcare, Quebec-style universal childcare, universal mental health access, a civic infrastructure pillar, universal paid family time, universal long-term care, federal housing investment in workforce and senior housing, a climate architecture with carbon pricing and dividend distribution, and an immigration architecture with federal-as-floor design. The package contains one hundred nine documents and nineteen mathematical models with sensitivity analysis.</w:t>
      </w:r>
      <w:r>
        <w:rPr>
          <w:rFonts w:ascii="Arial" w:cs="Arial" w:eastAsia="Arial" w:hAnsi="Arial"/>
          <w:b/>
          <w:bCs/>
          <w:sz w:val="22"/>
          <w:szCs w:val="22"/>
        </w:rPr>
      </w:r>
      <w:r>
        <w:rPr>
          <w:rFonts w:ascii="Arial" w:cs="Arial" w:eastAsia="Arial" w:hAnsi="Arial"/>
          <w:sz w:val="22"/>
          <w:szCs w:val="22"/>
        </w:rPr>
      </w:r>
    </w:p>
    <w:p>
      <w:pPr>
        <w:spacing w:after="200" w:line="300"/>
        <w:jc w:val="left"/>
      </w:pPr>
      <w:r>
        <w:t>The headline findings: a median household pays about $20,533 a year in federal taxes and health premiums where it now pays $35,751 — a saving of roughly $15,218 [REBUILT v3.8.402: the household comparison was rebuilt at the registered median of $83,730 and with the wage-floor phase-out applied; the saving is now $15,218. The previous figure was computed at $75,000 and without the phase-out.]. The platform's Sovereign Investment Fund reaches about $137 trillion over sixty years, and at its published 4 percent real return the platform reduces the federal deficit by about $2.6 trillion a year once mature. The Social Security changeover is financed by borrowing of about $85 trillion through 2085, which the fund is designed to outgrow; the platform publishes that figure rather than netting it away.</w:t>
      </w:r>
    </w:p>
    <w:p>
      <w:pPr>
        <w:spacing w:after="200" w:line="300"/>
        <w:jc w:val="left"/>
      </w:pPr>
      <w:r>
        <w:rPr>
          <w:rFonts w:ascii="Arial" w:cs="Arial" w:eastAsia="Arial" w:hAnsi="Arial"/>
          <w:sz w:val="22"/>
          <w:szCs w:val="22"/>
        </w:rPr>
        <w:t>If your office finds it useful, the following documents map most directly to common committee assignments. For health and human services concerns: Healthcare Transition Detailed Plan, Universal Mental Health Access Substantiation, Federal Program Integration Plan, and the Universal Healthcare Model. For finance and tax concerns: Does This Raise Taxes, Federal Fiscal Impact Analysis, the Combined Reform Model, and Wage Floors as Tax Architecture. For education concerns: Education Fund + Cost-Based Pricing Model, Sovereign Education Fund Substantiation, and Unlocking America's Potential. For labor concerns: Wage Floor Concept Analysis and Wage Floor Empirical Analysis. For aging and Medicare-related concerns: Existing Pensioners and the Platform, Aging-in-Place Implications, and Universal Long-Term Care Substantiation. For environmental and infrastructure concerns: Climate Policy Beyond Grid Modernization, Climate Architecture Substantiation, and the Civic Infrastructure pillar documents. For telecommunications and broadband policy: Universal Broadband Access Substantiation, Federal Infrastructure Fee, and Federal Infrastructure Fee Transition Mechanics; these establish cost recovery from companies for federally-owned broadband and cellular infrastructure, replacing Universal Service Fund (USF) and consolidating state telecom taxes. For public safety and emergency services: Emergency Services Communications Modernization, which addresses FirstNet renegotiation per the March 2026 Lutnick precedent, federal cellular sites in coverage gaps, NG911 transition funding, and tribal nation service commitments. For housing and immigration policy: Federal Housing Investment Substantiation and Immigration Architecture Substantiation. For transparency and platform-process review: the Open Issues Registry catalogues all open issues, deferred research, and acknowledged limitations the platform has identified. For constituent-services topics: Temporary Assistance for Needy Families (TANF) and Cash Assistance, Section 8 Housing and Federal Housing Assistance, and Public-Sector Worker Transitions. The Platform Package Table of Contents provides the full document inventory with descriptions to support additional navigation.</w:t>
      </w:r>
    </w:p>
    <w:p>
      <w:pPr>
        <w:pStyle w:val="ListParagraph"/>
        <w:numPr>
          <w:ilvl w:val="0"/>
          <w:numId w:val="2"/>
        </w:numPr>
        <w:spacing w:after="80" w:line="280"/>
      </w:pPr>
      <w:r>
        <w:rPr>
          <w:rFonts w:ascii="Arial" w:cs="Arial" w:eastAsia="Arial" w:hAnsi="Arial"/>
          <w:i w:val="false"/>
          <w:iCs w:val="false"/>
          <w:sz w:val="22"/>
          <w:szCs w:val="22"/>
        </w:rPr>
        <w:t>I am writing to request three things: first, that the package receive consideration by your office's policy staff (the enclosed Reader's Guide provides reading paths matched to different time commitments); second, that elements you find worth exploring be directed to appropriate institutional analysis (Congressional Budget Office (CBO), the Social Security Administration Office of the Chief Actuary, or congressional committee staff); and third, that I be informed of any substantive critique your staff develops, which I will incorporate into subsequent revisions.</w:t>
      </w:r>
      <w:r>
        <w:rPr>
          <w:rFonts w:ascii="Arial" w:cs="Arial" w:eastAsia="Arial" w:hAnsi="Arial"/>
          <w:b/>
          <w:bCs/>
          <w:sz w:val="22"/>
          <w:szCs w:val="22"/>
        </w:rPr>
      </w:r>
      <w:r>
        <w:rPr>
          <w:rFonts w:ascii="Arial" w:cs="Arial" w:eastAsia="Arial" w:hAnsi="Arial"/>
          <w:sz w:val="22"/>
          <w:szCs w:val="22"/>
        </w:rPr>
      </w:r>
    </w:p>
    <w:p>
      <w:pPr>
        <w:pStyle w:val="ListParagraph"/>
        <w:numPr>
          <w:ilvl w:val="0"/>
          <w:numId w:val="2"/>
        </w:numPr>
        <w:spacing w:after="80" w:line="280"/>
      </w:pPr>
      <w:r>
        <w:rPr>
          <w:rFonts w:ascii="Arial" w:cs="Arial" w:eastAsia="Arial" w:hAnsi="Arial"/>
          <w:i w:val="false"/>
          <w:iCs w:val="false"/>
          <w:sz w:val="22"/>
          <w:szCs w:val="22"/>
        </w:rPr>
        <w:t>I am happy to discuss any aspect of the platform, provide the underlying spreadsheet models for verification, or revise the analysis in response to your staff's feedback. Thank you for your time and for your service to Ohio.</w:t>
      </w:r>
      <w:r>
        <w:rPr>
          <w:rFonts w:ascii="Arial" w:cs="Arial" w:eastAsia="Arial" w:hAnsi="Arial"/>
          <w:b/>
          <w:bCs/>
          <w:sz w:val="22"/>
          <w:szCs w:val="22"/>
        </w:rPr>
      </w:r>
      <w:r>
        <w:rPr>
          <w:rFonts w:ascii="Arial" w:cs="Arial" w:eastAsia="Arial" w:hAnsi="Arial"/>
          <w:sz w:val="22"/>
          <w:szCs w:val="22"/>
        </w:rPr>
      </w:r>
    </w:p>
    <w:p>
      <w:pPr>
        <w:pStyle w:val="ListParagraph"/>
        <w:numPr>
          <w:ilvl w:val="0"/>
          <w:numId w:val="2"/>
        </w:numPr>
        <w:spacing w:after="80" w:line="280"/>
      </w:pPr>
      <w:r>
        <w:rPr>
          <w:rFonts w:ascii="Arial" w:cs="Arial" w:eastAsia="Arial" w:hAnsi="Arial"/>
          <w:i w:val="false"/>
          <w:iCs w:val="false"/>
          <w:sz w:val="22"/>
          <w:szCs w:val="22"/>
        </w:rPr>
      </w:r>
      <w:r>
        <w:rPr>
          <w:rFonts w:ascii="Arial" w:cs="Arial" w:eastAsia="Arial" w:hAnsi="Arial"/>
          <w:b/>
          <w:bCs/>
          <w:sz w:val="22"/>
          <w:szCs w:val="22"/>
        </w:rPr>
      </w:r>
      <w:r>
        <w:rPr>
          <w:rFonts w:ascii="Arial" w:cs="Arial" w:eastAsia="Arial" w:hAnsi="Arial"/>
          <w:sz w:val="22"/>
          <w:szCs w:val="22"/>
        </w:rPr>
      </w:r>
    </w:p>
    <w:p>
      <w:pPr>
        <w:pStyle w:val="ListParagraph"/>
        <w:numPr>
          <w:ilvl w:val="0"/>
          <w:numId w:val="2"/>
        </w:numPr>
        <w:spacing w:after="80" w:line="280"/>
      </w:pPr>
      <w:r>
        <w:rPr>
          <w:rFonts w:ascii="Arial" w:cs="Arial" w:eastAsia="Arial" w:hAnsi="Arial"/>
          <w:i w:val="false"/>
          <w:iCs w:val="false"/>
          <w:sz w:val="22"/>
          <w:szCs w:val="22"/>
        </w:rPr>
      </w:r>
    </w:p>
    <w:p>
      <w:pPr>
        <w:spacing w:after="200" w:line="300"/>
        <w:jc w:val="left"/>
      </w:pPr>
      <w:r>
        <w:rPr>
          <w:rFonts w:ascii="Arial" w:cs="Arial" w:eastAsia="Arial" w:hAnsi="Arial"/>
          <w:sz w:val="22"/>
          <w:szCs w:val="22"/>
        </w:rPr>
      </w:r>
    </w:p>
    <w:p>
      <w:pPr>
        <w:spacing w:after="200" w:line="300"/>
        <w:jc w:val="left"/>
      </w:pPr>
      <w:r>
        <w:rPr>
          <w:rFonts w:ascii="Arial" w:cs="Arial" w:eastAsia="Arial" w:hAnsi="Arial"/>
          <w:i w:val="false"/>
          <w:iCs w:val="false"/>
          <w:sz w:val="22"/>
          <w:szCs w:val="22"/>
        </w:rPr>
      </w:r>
      <w:r>
        <w:rPr>
          <w:rFonts w:ascii="Arial" w:cs="Arial" w:eastAsia="Arial" w:hAnsi="Arial"/>
          <w:b/>
          <w:bCs/>
          <w:sz w:val="22"/>
          <w:szCs w:val="22"/>
        </w:rPr>
      </w:r>
      <w:r>
        <w:rPr>
          <w:rFonts w:ascii="Arial" w:cs="Arial" w:eastAsia="Arial" w:hAnsi="Arial"/>
          <w:sz w:val="22"/>
          <w:szCs w:val="22"/>
        </w:rPr>
      </w:r>
    </w:p>
    <w:p>
      <w:pPr>
        <w:pStyle w:val="ListParagraph"/>
        <w:numPr>
          <w:ilvl w:val="0"/>
          <w:numId w:val="2"/>
        </w:numPr>
        <w:spacing w:after="80" w:line="280"/>
      </w:pPr>
      <w:r>
        <w:rPr>
          <w:rFonts w:ascii="Arial" w:cs="Arial" w:eastAsia="Arial" w:hAnsi="Arial"/>
          <w:i w:val="false"/>
          <w:iCs w:val="false"/>
          <w:sz w:val="22"/>
          <w:szCs w:val="22"/>
        </w:rPr>
      </w:r>
    </w:p>
    <w:p>
      <w:pPr>
        <w:pStyle w:val="ListParagraph"/>
        <w:numPr>
          <w:ilvl w:val="0"/>
          <w:numId w:val="2"/>
        </w:numPr>
        <w:spacing w:after="80" w:line="280"/>
      </w:pPr>
      <w:r>
        <w:rPr>
          <w:rFonts w:ascii="Arial" w:cs="Arial" w:eastAsia="Arial" w:hAnsi="Arial"/>
          <w:i w:val="false"/>
          <w:iCs w:val="false"/>
          <w:sz w:val="22"/>
          <w:szCs w:val="22"/>
        </w:rPr>
      </w:r>
    </w:p>
    <w:p>
      <w:pPr>
        <w:pStyle w:val="ListParagraph"/>
        <w:numPr>
          <w:ilvl w:val="0"/>
          <w:numId w:val="2"/>
        </w:numPr>
        <w:spacing w:after="80" w:line="280"/>
      </w:pPr>
      <w:r>
        <w:rPr>
          <w:rFonts w:ascii="Arial" w:cs="Arial" w:eastAsia="Arial" w:hAnsi="Arial"/>
          <w:i w:val="false"/>
          <w:iCs w:val="false"/>
          <w:sz w:val="22"/>
          <w:szCs w:val="22"/>
        </w:rPr>
      </w:r>
    </w:p>
    <w:p>
      <w:pPr>
        <w:spacing w:after="200" w:line="300"/>
        <w:jc w:val="left"/>
      </w:pPr>
      <w:r>
        <w:rPr>
          <w:rFonts w:ascii="Arial" w:cs="Arial" w:eastAsia="Arial" w:hAnsi="Arial"/>
          <w:sz w:val="22"/>
          <w:szCs w:val="22"/>
        </w:rPr>
      </w:r>
    </w:p>
    <w:p>
      <w:pPr>
        <w:spacing w:after="200" w:line="300"/>
        <w:jc w:val="left"/>
      </w:pPr>
      <w:r>
        <w:rPr>
          <w:rFonts w:ascii="Arial" w:cs="Arial" w:eastAsia="Arial" w:hAnsi="Arial"/>
          <w:sz w:val="22"/>
          <w:szCs w:val="22"/>
        </w:rPr>
      </w:r>
    </w:p>
    <w:p>
      <w:pPr>
        <w:spacing w:after="200"/>
      </w:pPr>
      <w:r>
        <w:t xml:space="preserve"/>
      </w:r>
    </w:p>
    <w:p>
      <w:pPr>
        <w:spacing w:after="200" w:line="300"/>
        <w:jc w:val="left"/>
      </w:pPr>
      <w:r>
        <w:rPr>
          <w:rFonts w:ascii="Arial" w:cs="Arial" w:eastAsia="Arial" w:hAnsi="Arial"/>
          <w:sz w:val="22"/>
          <w:szCs w:val="22"/>
        </w:rPr>
        <w:t xml:space="preserve">Respectfully,</w:t>
      </w:r>
    </w:p>
    <w:p>
      <w:pPr>
        <w:spacing w:after="600"/>
      </w:pPr>
      <w:r>
        <w:t xml:space="preserve"/>
      </w:r>
    </w:p>
    <w:p>
      <w:pPr>
        <w:spacing w:after="200" w:line="300"/>
        <w:jc w:val="left"/>
      </w:pPr>
      <w:r>
        <w:rPr>
          <w:rFonts w:ascii="Arial" w:cs="Arial" w:eastAsia="Arial" w:hAnsi="Arial"/>
          <w:b/>
          <w:bCs/>
          <w:sz w:val="22"/>
          <w:szCs w:val="22"/>
        </w:rPr>
        <w:t>[Your Name]</w:t>
      </w:r>
    </w:p>
    <w:p>
      <w:pPr>
        <w:spacing w:after="200" w:line="300"/>
        <w:jc w:val="left"/>
      </w:pPr>
      <w:r>
        <w:rPr>
          <w:rFonts w:ascii="Arial" w:cs="Arial" w:eastAsia="Arial" w:hAnsi="Arial"/>
          <w:sz w:val="22"/>
          <w:szCs w:val="22"/>
        </w:rPr>
        <w:t>[Your Title or Profession]</w:t>
      </w:r>
    </w:p>
    <w:p>
      <w:pPr>
        <w:spacing w:after="200" w:line="300"/>
        <w:jc w:val="left"/>
      </w:pPr>
      <w:r>
        <w:rPr>
          <w:rFonts w:ascii="Arial" w:cs="Arial" w:eastAsia="Arial" w:hAnsi="Arial"/>
          <w:sz w:val="22"/>
          <w:szCs w:val="22"/>
        </w:rPr>
        <w:t xml:space="preserve">[City], Ohio</w:t>
      </w:r>
    </w:p>
    <w:p>
      <w:pPr>
        <w:spacing w:after="400"/>
      </w:pPr>
      <w:r>
        <w:t xml:space="preserve"/>
      </w:r>
    </w:p>
    <w:p>
      <w:pPr>
        <w:spacing w:after="200" w:line="300"/>
        <w:jc w:val="left"/>
      </w:pPr>
      <w:r>
        <w:t>Enclosure: The We The People Platform — Reader's Guide and Package Summary (v3.8.484 — update to the version you enclose)</w:t>
      </w:r>
    </w:p>
    <w:p>
      <w:pPr>
        <w:spacing w:before="600"/>
      </w:pPr>
      <w:r>
        <w:t xml:space="preserve"/>
      </w:r>
    </w:p>
    <w:p>
      <w:pPr>
        <w:jc w:val="center"/>
      </w:pPr>
      <w:r>
        <w:rPr>
          <w:rFonts w:ascii="Arial" w:cs="Arial" w:eastAsia="Arial" w:hAnsi="Arial"/>
          <w:i/>
          <w:iCs/>
          <w:color w:val="595959"/>
          <w:sz w:val="14"/>
          <w:szCs w:val="14"/>
        </w:rPr>
        <w:t>Constituent Letter · v2.7 · Created April 2026 · Updated May 6, 2026 for v2.26 (count to 78; infrastructure fee context)  ·  Updated May 6, 2026 for v2.26.2 (CRIT-2: items 76, 77, 78 added to committee mapping; enclosure version)</w:t>
      </w:r>
      <w:r>
        <w:t xml:space="preserve"> · Updated v3.8.355: headline findings restated on the current design; the revision notice moved out of the letterhead</w:t>
      </w:r>
    </w:p>
    <w:p/>
    <w:p>
      <w:r>
        <w:rPr>
          <w:b/>
        </w:rPr>
        <w:t>INTERNAL NOTE — NOT PART OF THE LETTER</w:t>
      </w:r>
    </w:p>
    <w:p>
      <w:r>
        <w:t>SWEPT AND CURRENT (v3.8.362). This document was reviewed line by line at v3.8.355, every numerical claim in it checked against the registry and the models, and the corrections applied in place. Its figures are current as of v3.8.361. THE NOTICE THAT FOLLOWS IS KEPT AS HISTORY, not as a live warning: it was written before that review and is superseded by it. Where a claim could not be restated -- because the finding itself was overturned rather than the number -- the document says so at the point of use. Original notice: UNDER REVISION (v3.8.337). This document's figures for the Social Security transition are superseded. Measured in today's dollars, with the workers the phase-out grandfathers actually retiring and claiming, phasing out Social Security alone would require about $58 trillion of cumulative borrowing by 2085, and the platform's reform reduces that to about $35 trillion: a reduction of about 40 percent, not the 99.9 percent (from $93.9 trillion to $82 billion) or the peak of about $1.9 trillion stated in earlier versions. Passages that rest on those figures will be rewritten; see the version log for v3.8.336 and v3.8.337. UPDATED v3.8.341: both models have since been rebuilt on the decided repayment rule -- workers leave oldest first and get back their pre-enactment contributions with interest at the government's own borrowing cost, before they retire. On that basis the standalone sunset needs about $73 trillion of cumulative borrowing by 2085 and the platform's reform about $60 trillion, a reduction of about 18 percent rather than the 40 percent stated when this notice was written, or the 99.9 percent stated in the document below. UPDATED v3.8.347: the platform has since adopted ABSORPTION, which it always intended -- the Social Security trust fund moves into the Sovereign Fund at year 1 and every payroll tax dollar of the wind-down goes to the fund, with benefits and repayments financed by borrowing. On that design the fund reaches about $137 trillion by year 60 and the platform REDUCES the federal deficit by about $2.72 trillion a year at its published 4 percent return, or $1.39 trillion counting interest on the transition debt, which stands at about $85 trillion. The gain is a spread between the fund's return and the government's borrowing cost and reverses below about 3 percent. Separately, the pillars' own build-out years are now costed for the first time: about $0.321 trillion [UPDATED v3.8.414: the first-year figure moved to $0.321 trillion when the pillar ledger adopted the CMS 2024 column at v3.8.409 -- more existing spending absorbed means a smaller first-year deficit] in year 1, peaking near $1.7 trillion in year 6, roughly $20 trillion over fifteen years, none of it inside the Social Security figure. See 05_Transition_Design_Options_And_Costs.docx and 05_Federal_Fiscal_Impact_Analysis.docx, which carry the current figures.</w:t>
      </w:r>
    </w:p>
    <w:p>
      <w:r>
        <w:t>Moved here at v3.8.355. It had been sitting between the sender's name and the address block, which made the letter unsendable as written. The headline paragraph above now states the current findings in plain prose; this note keeps the correction history with the document.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Constituent Letter to Senator</dc:title>
  <dc:creator>Jason</dc:creator>
  <cp:lastModifiedBy>Un-named</cp:lastModifiedBy>
  <cp:revision>1</cp:revision>
  <dcterms:created xsi:type="dcterms:W3CDTF">2026-05-03T14:25:26.423Z</dcterms:created>
  <dcterms:modified xsi:type="dcterms:W3CDTF">2026-05-03T14:25:26.423Z</dcterms:modified>
</cp:coreProperties>
</file>

<file path=docProps/custom.xml><?xml version="1.0" encoding="utf-8"?>
<Properties xmlns="http://schemas.openxmlformats.org/officeDocument/2006/custom-properties" xmlns:vt="http://schemas.openxmlformats.org/officeDocument/2006/docPropsVTypes"/>
</file>